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A6" w:rsidRPr="000B6EA6" w:rsidRDefault="000B6EA6" w:rsidP="000B6EA6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0B6EA6">
        <w:rPr>
          <w:rFonts w:ascii="Arial" w:hAnsi="Arial" w:cs="Arial"/>
          <w:b/>
          <w:bCs/>
          <w:color w:val="000000"/>
          <w:sz w:val="32"/>
          <w:szCs w:val="32"/>
        </w:rPr>
        <w:t>Logística e Transportes</w:t>
      </w:r>
    </w:p>
    <w:p w:rsidR="000B6EA6" w:rsidRPr="000B6EA6" w:rsidRDefault="000B6EA6" w:rsidP="000B6EA6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B6EA6" w:rsidRPr="000B6EA6" w:rsidRDefault="000B6EA6" w:rsidP="000B6EA6">
      <w:pPr>
        <w:autoSpaceDE w:val="0"/>
        <w:autoSpaceDN w:val="0"/>
        <w:jc w:val="center"/>
        <w:rPr>
          <w:rFonts w:ascii="Arial" w:hAnsi="Arial" w:cs="Arial"/>
          <w:bCs/>
          <w:sz w:val="28"/>
          <w:szCs w:val="28"/>
        </w:rPr>
      </w:pPr>
      <w:r w:rsidRPr="000B6EA6">
        <w:rPr>
          <w:rFonts w:ascii="Arial" w:hAnsi="Arial" w:cs="Arial"/>
          <w:bCs/>
          <w:sz w:val="28"/>
          <w:szCs w:val="28"/>
        </w:rPr>
        <w:t>GABINETE DO SECRETÁRIO</w:t>
      </w:r>
    </w:p>
    <w:p w:rsidR="000B6EA6" w:rsidRPr="000B6EA6" w:rsidRDefault="000B6EA6" w:rsidP="000B6EA6">
      <w:pPr>
        <w:autoSpaceDE w:val="0"/>
        <w:autoSpaceDN w:val="0"/>
        <w:jc w:val="center"/>
        <w:rPr>
          <w:rFonts w:ascii="Arial" w:hAnsi="Arial" w:cs="Arial"/>
          <w:bCs/>
          <w:color w:val="727272"/>
          <w:sz w:val="28"/>
          <w:szCs w:val="28"/>
        </w:rPr>
      </w:pPr>
    </w:p>
    <w:p w:rsidR="000B6EA6" w:rsidRDefault="000B6EA6" w:rsidP="000B6EA6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0B6EA6">
        <w:rPr>
          <w:rFonts w:ascii="Arial" w:hAnsi="Arial" w:cs="Arial"/>
          <w:bCs/>
          <w:color w:val="000000"/>
          <w:sz w:val="28"/>
          <w:szCs w:val="28"/>
        </w:rPr>
        <w:t xml:space="preserve">Resolução SLT Nº </w:t>
      </w:r>
      <w:r w:rsidR="002415D4">
        <w:rPr>
          <w:rFonts w:ascii="Arial" w:hAnsi="Arial" w:cs="Arial"/>
          <w:bCs/>
          <w:color w:val="000000"/>
          <w:sz w:val="28"/>
          <w:szCs w:val="28"/>
        </w:rPr>
        <w:t>0</w:t>
      </w:r>
      <w:r w:rsidRPr="000B6EA6">
        <w:rPr>
          <w:rFonts w:ascii="Arial" w:hAnsi="Arial" w:cs="Arial"/>
          <w:bCs/>
          <w:color w:val="000000"/>
          <w:sz w:val="28"/>
          <w:szCs w:val="28"/>
        </w:rPr>
        <w:t>4 de 22-7-2013</w:t>
      </w:r>
    </w:p>
    <w:p w:rsidR="000B6EA6" w:rsidRPr="000B6EA6" w:rsidRDefault="000B6EA6" w:rsidP="000B6EA6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0B6EA6" w:rsidRPr="000B6EA6" w:rsidRDefault="000B6EA6" w:rsidP="000B6EA6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O Secretário Estadual de Logística e Transportes,</w:t>
      </w: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Considerando</w:t>
      </w: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a) diretriz do governo do Estado de São Paulo para ampliação do sistema de pagamento eletrônico de pedágio, com a abertura do mercado de prestadores de serviços e a entrada de novos concorrentes;</w:t>
      </w: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b) a concepção do projeto Ponto a Ponto que altera ametodologia na forma de cobrança da tarifa de pedágio, possibilitandoa substituição do pagamento hoje estabelecido porTrecho de Cobertura de Praça de Pedágio (TCP), pormodalidade em que a tarifa é devida pelo trecho efetivamente percorrido</w:t>
      </w: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(Ponto a Ponto); permitindo a cobrança de uma tarifa mais justapara os usuários;</w:t>
      </w: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c) que a metodologia prevista no projeto Ponto a Pontotornou-se viável, técnica e economicamente, em razão depesquisas e da evolução tecnológica recente, nos termos daResolução SLT - 13/2011;</w:t>
      </w: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d) a implantação bem sucedida do projeto Ponto a Pontojá nas praças de pedágio dos municípios de Itatiba, Indaiatubae Jaguariúna, beneficiando mais de 12 mil usuários de veículosleves;</w:t>
      </w: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e) o esforço do Governo do Estado de São Paulo paraampliar o alcance do projeto com a inclusão de novas praçasde pedágio e a extensão do benefício aos veículos comerciais;</w:t>
      </w: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f) que, por razões de ordem técnica, para que seja possívelo pagamento por trecho percorrido aos veículos comerciais faz</w:t>
      </w:r>
      <w:r>
        <w:rPr>
          <w:rFonts w:ascii="Arial" w:hAnsi="Arial" w:cs="Arial"/>
          <w:sz w:val="24"/>
          <w:szCs w:val="24"/>
        </w:rPr>
        <w:t xml:space="preserve">- </w:t>
      </w:r>
      <w:r w:rsidRPr="000B6EA6">
        <w:rPr>
          <w:rFonts w:ascii="Arial" w:hAnsi="Arial" w:cs="Arial"/>
          <w:sz w:val="24"/>
          <w:szCs w:val="24"/>
        </w:rPr>
        <w:t>senecessária a mudança da sistemática de cobrança de eixosvigente, permitindo inicialmente a cobrança de todos os eixos,e possivelmente no futuro, para melhor adequação tecnológica,a cobrança pela categoria (volume) dos veículos comerciais;</w:t>
      </w: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g) que eventual aumento na arrecadação das tarifas depedágio, auferido em virtude desta Resolução, será integralmenterevertido em benefício dos usuários; e somado aos demaisesforços recentemente implementados para diminuir o impactodo valor da tarifa de pedágio na malha rodoviária concessionadado Estado de São Paulo; e por fim,</w:t>
      </w: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 xml:space="preserve">h) que a ARTESP – Agência Reguladora de Serviços PúblicosDelegados de Transporte do Estado de São Paulo, em sua deliberaçãode 24-06-2013, sugeriu ao Poder Concedente medidascom o propósito de mitigar os efeitos </w:t>
      </w:r>
      <w:r w:rsidRPr="000B6EA6">
        <w:rPr>
          <w:rFonts w:ascii="Arial" w:hAnsi="Arial" w:cs="Arial"/>
          <w:sz w:val="24"/>
          <w:szCs w:val="24"/>
        </w:rPr>
        <w:lastRenderedPageBreak/>
        <w:t>econômico-financeirosdo reajuste das tarifas de pedágio e aprimorar a metodologiade cobrança por meio da instalação do projeto Ponto a Ponto.</w:t>
      </w: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Resolve:</w:t>
      </w: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Artigo 1º - Para efeito de aplicação da Tabela 2 – “FATORMULTIPLICADOR POR CATEGORIA DE VEÍCULO” constante daResolução ST-18, de 01/07/97, modificada pela Resolução ST-25,de 29/08/97, serão considerados, para fins de cobrança da tarifade pedágio todos os eixos de veículos comerciais, inclusive osque não estejam em contato com a pista no momento da passagemdo veículo pelo conjunto de sensores utilizados nas praças</w:t>
      </w: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de pedágio e nos pórticos do projeto Ponto a Ponto.</w:t>
      </w: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Parágrafo Único – A cobrança também se aplica nos casosde utilização de pistas especiais.</w:t>
      </w: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Artigo 2º - Na hipótese de os fatores desta Resoluçãodarem causa a aumento da arrecadação das concessionáriasde rodovias do Estado de São Paulo, este deverá servir, comexclusividade, à diminuição da tarifa de pedágio nasrodoviasconcedidas no Estado de São Paulo.</w:t>
      </w: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Artigo 3º - Caberá à ARTESP o cálculo dos impactos dacobrança de que trata essa Resolução para cada concessionáriae dos descontos tarifáriosequivalentes para os usuários.</w:t>
      </w: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  <w:r w:rsidRPr="000B6EA6">
        <w:rPr>
          <w:rFonts w:ascii="Arial" w:hAnsi="Arial" w:cs="Arial"/>
          <w:sz w:val="24"/>
          <w:szCs w:val="24"/>
        </w:rPr>
        <w:t>Artigo 4º - Esta Resolução entrará em vigor na data de suapublicação.</w:t>
      </w:r>
    </w:p>
    <w:p w:rsidR="000B6EA6" w:rsidRPr="000B6EA6" w:rsidRDefault="000B6EA6" w:rsidP="000B6EA6">
      <w:pPr>
        <w:jc w:val="both"/>
        <w:rPr>
          <w:rFonts w:ascii="Arial" w:hAnsi="Arial" w:cs="Arial"/>
          <w:sz w:val="24"/>
          <w:szCs w:val="24"/>
        </w:rPr>
      </w:pPr>
    </w:p>
    <w:p w:rsidR="00F45E90" w:rsidRDefault="002415D4" w:rsidP="000B6EA6">
      <w:pPr>
        <w:rPr>
          <w:rFonts w:ascii="Arial" w:hAnsi="Arial" w:cs="Arial"/>
          <w:sz w:val="24"/>
          <w:szCs w:val="24"/>
        </w:rPr>
      </w:pPr>
    </w:p>
    <w:p w:rsidR="000B6EA6" w:rsidRDefault="000B6EA6" w:rsidP="000B6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Diário Oficial do Estado de São Paulo, 24 de julho de 2013</w:t>
      </w:r>
    </w:p>
    <w:p w:rsidR="000B6EA6" w:rsidRDefault="000B6EA6" w:rsidP="000B6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Caderno: Executivo 1</w:t>
      </w:r>
    </w:p>
    <w:p w:rsidR="000B6EA6" w:rsidRDefault="000B6EA6" w:rsidP="000B6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Página: 42</w:t>
      </w:r>
    </w:p>
    <w:p w:rsidR="000B6EA6" w:rsidRDefault="000B6EA6" w:rsidP="000B6EA6">
      <w:pPr>
        <w:rPr>
          <w:rFonts w:ascii="Arial" w:hAnsi="Arial" w:cs="Arial"/>
          <w:sz w:val="24"/>
          <w:szCs w:val="24"/>
        </w:rPr>
      </w:pPr>
    </w:p>
    <w:p w:rsidR="000B6EA6" w:rsidRDefault="000B6EA6" w:rsidP="000B6EA6">
      <w:pPr>
        <w:rPr>
          <w:rFonts w:ascii="Arial" w:hAnsi="Arial" w:cs="Arial"/>
          <w:sz w:val="24"/>
          <w:szCs w:val="24"/>
        </w:rPr>
      </w:pPr>
    </w:p>
    <w:p w:rsidR="000B6EA6" w:rsidRDefault="00AF415F" w:rsidP="000B6EA6">
      <w:hyperlink r:id="rId5" w:history="1">
        <w:r w:rsidR="000B6EA6">
          <w:rPr>
            <w:rStyle w:val="Hyperlink"/>
          </w:rPr>
          <w:t>http://diariooficial.imprensaoficial.com.br/nav_v4/index.asp?c=4&amp;e=20130724&amp;p=1</w:t>
        </w:r>
      </w:hyperlink>
    </w:p>
    <w:p w:rsidR="000B6EA6" w:rsidRPr="000B6EA6" w:rsidRDefault="000B6EA6" w:rsidP="000B6EA6">
      <w:pPr>
        <w:rPr>
          <w:rFonts w:ascii="Arial" w:hAnsi="Arial" w:cs="Arial"/>
          <w:sz w:val="24"/>
          <w:szCs w:val="24"/>
        </w:rPr>
      </w:pPr>
    </w:p>
    <w:sectPr w:rsidR="000B6EA6" w:rsidRPr="000B6EA6" w:rsidSect="00AF4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489D"/>
    <w:multiLevelType w:val="hybridMultilevel"/>
    <w:tmpl w:val="ACFE02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6EA6"/>
    <w:rsid w:val="000B6EA6"/>
    <w:rsid w:val="000F7645"/>
    <w:rsid w:val="002415D4"/>
    <w:rsid w:val="00377DE9"/>
    <w:rsid w:val="003B1776"/>
    <w:rsid w:val="004F00DF"/>
    <w:rsid w:val="0063759D"/>
    <w:rsid w:val="00AF415F"/>
    <w:rsid w:val="00D22C8F"/>
    <w:rsid w:val="00DA7EE4"/>
    <w:rsid w:val="00FE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A6"/>
    <w:rPr>
      <w:rFonts w:ascii="Calibri" w:eastAsiaTheme="minorHAnsi" w:hAnsi="Calibri" w:cs="Calibri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E52DF"/>
    <w:pPr>
      <w:keepNext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E52DF"/>
    <w:pPr>
      <w:keepNext/>
      <w:jc w:val="center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FE52DF"/>
    <w:pPr>
      <w:keepNext/>
      <w:ind w:left="1416"/>
      <w:jc w:val="center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FE52DF"/>
    <w:pPr>
      <w:keepNext/>
      <w:ind w:left="708"/>
      <w:jc w:val="center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E5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FE52D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FE5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FE52DF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0B6EA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B6EA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B6E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A6"/>
    <w:rPr>
      <w:rFonts w:ascii="Calibri" w:eastAsiaTheme="minorHAnsi" w:hAnsi="Calibri" w:cs="Calibri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E52DF"/>
    <w:pPr>
      <w:keepNext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E52DF"/>
    <w:pPr>
      <w:keepNext/>
      <w:jc w:val="center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FE52DF"/>
    <w:pPr>
      <w:keepNext/>
      <w:ind w:left="1416"/>
      <w:jc w:val="center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FE52DF"/>
    <w:pPr>
      <w:keepNext/>
      <w:ind w:left="708"/>
      <w:jc w:val="center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E5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FE52D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FE5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FE52DF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0B6EA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B6EA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B6E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ariooficial.imprensaoficial.com.br/nav_v4/index.asp?c=4&amp;e=20130724&amp;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Leidiani</dc:creator>
  <cp:lastModifiedBy>Rodrigo Greco</cp:lastModifiedBy>
  <cp:revision>10</cp:revision>
  <dcterms:created xsi:type="dcterms:W3CDTF">2013-07-25T20:27:00Z</dcterms:created>
  <dcterms:modified xsi:type="dcterms:W3CDTF">2013-07-26T20:16:00Z</dcterms:modified>
</cp:coreProperties>
</file>